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98EC" w14:textId="227AEE4A" w:rsidR="000868B6" w:rsidRPr="002F4142" w:rsidRDefault="000868B6" w:rsidP="0051285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F414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Czekanie na szczyt inflacji wykańcza </w:t>
      </w:r>
      <w:r w:rsidR="008C7EB2" w:rsidRPr="002F414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biznes – w drugim półroczu zbankrutuje ponad </w:t>
      </w:r>
      <w:r w:rsidR="003E27AB" w:rsidRPr="002F414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ćwierć miliona firm</w:t>
      </w:r>
    </w:p>
    <w:p w14:paraId="3F264CDC" w14:textId="62DE8142" w:rsidR="0090615D" w:rsidRPr="000442D3" w:rsidRDefault="008C7EB2" w:rsidP="002F414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 czerwcu miał być szczyt inflacji, ale w lipcu znowu </w:t>
      </w:r>
      <w:r w:rsidR="00DF6157" w:rsidRP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padł</w:t>
      </w:r>
      <w:r w:rsidRP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rekord: </w:t>
      </w:r>
      <w:r w:rsidR="0090615D" w:rsidRP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9,3% w górę – to odczyt NBP dotyczący inflacji bazowej w lipcu (w ujęciu rocznym).</w:t>
      </w:r>
    </w:p>
    <w:p w14:paraId="67EE0828" w14:textId="6964ED52" w:rsidR="00BB6BD1" w:rsidRPr="000442D3" w:rsidRDefault="00BB6BD1" w:rsidP="002F414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Wg badania Konfederacji Lewiatan 74% przedsiębiorców obawia się dalszego wzrostu cen.</w:t>
      </w:r>
      <w:r w:rsidR="008C7EB2" w:rsidRP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132A6" w:rsidRP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Przedsiębiorcy starają się robić zapasy i kupować surowce czy podzespoły z jak największym wyprzedzeniem. Na to potrzebne s</w:t>
      </w:r>
      <w:r w:rsidR="008C7EB2" w:rsidRP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ą</w:t>
      </w:r>
      <w:r w:rsidR="006132A6" w:rsidRP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jednak środki i wysoka płynność.</w:t>
      </w:r>
      <w:r w:rsidRP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5A0C9A19" w14:textId="65E0E272" w:rsidR="009E4FF8" w:rsidRPr="000442D3" w:rsidRDefault="009E4FF8" w:rsidP="002F414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 pierwszym półroczu około </w:t>
      </w:r>
      <w:r w:rsid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17 tys.</w:t>
      </w:r>
      <w:r w:rsidRP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firm </w:t>
      </w:r>
      <w:r w:rsid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zamykało się miesięcznie</w:t>
      </w:r>
      <w:r w:rsidR="001B7A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(44 tys. razem z</w:t>
      </w:r>
      <w:r w:rsidR="002F41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proofErr w:type="spellStart"/>
      <w:r w:rsidR="001B7A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zawieszeniami</w:t>
      </w:r>
      <w:proofErr w:type="spellEnd"/>
      <w:r w:rsidR="001B7A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P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 W drugim półroczu będzie ich na pewno więcej.</w:t>
      </w:r>
    </w:p>
    <w:p w14:paraId="418DD250" w14:textId="77777777" w:rsidR="009E4FF8" w:rsidRPr="000442D3" w:rsidRDefault="009E4FF8" w:rsidP="002F4142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B6DAF25" w14:textId="4EAB98C4" w:rsidR="0090615D" w:rsidRPr="000442D3" w:rsidRDefault="006132A6" w:rsidP="002F414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Część ekonomistów 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spodziewała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się, że 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czerwcowa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inflacja będzie najwyższą, osiągnie szczyt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owy poziom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w kolejnych 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miesiącach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 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spadać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Były ku temu podstawy, bo taniało paliwo, którego koszt wpływa na całą gospodarkę. Niestety na szczyt inflacyjny dalej trzeba czekać. W 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lipcowym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odczycie inflacja bazowa wyniosła 9,3% (w ujęciu rocznym). </w:t>
      </w:r>
      <w:r w:rsidR="0090615D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Inflacja bazowa pokazuje średnią zmianę cen całego koszyka dóbr kupowanych przez konsumentów przy wyłączeniu żywności i energii. Inflacja uwzględniająca te dobra 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wyniosła</w:t>
      </w:r>
      <w:r w:rsidR="0090615D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lipcu 15,6%. W czerwcu 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inflacja</w:t>
      </w:r>
      <w:r w:rsidR="0090615D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bazowa wyniosła 9,1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 w:rsidR="0090615D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na zakończenie pierwszego kwartału, w marcu </w:t>
      </w:r>
      <w:r w:rsid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90615D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6,9%. </w:t>
      </w:r>
    </w:p>
    <w:p w14:paraId="3161F9FB" w14:textId="37F6C87A" w:rsidR="0090615D" w:rsidRPr="000442D3" w:rsidRDefault="0090615D" w:rsidP="002F414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75C238" w14:textId="12FBFA08" w:rsidR="00DF6157" w:rsidRPr="000442D3" w:rsidRDefault="00DF6157" w:rsidP="002F4142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Firmy podnoszą ceny lub próbują ucieczki do przodu</w:t>
      </w:r>
    </w:p>
    <w:p w14:paraId="5C8C2B51" w14:textId="3573BA98" w:rsidR="0090615D" w:rsidRPr="000442D3" w:rsidRDefault="0090615D" w:rsidP="002F414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Ciągły wzrost cen jest bardzo uciążliwy dla konsumentów, ale wykańcza te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ż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firm</w:t>
      </w:r>
      <w:r w:rsidR="006132A6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wielu branż.</w:t>
      </w:r>
    </w:p>
    <w:p w14:paraId="118239C0" w14:textId="19388544" w:rsidR="0090615D" w:rsidRDefault="0090615D" w:rsidP="002F4142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ADB944F" w14:textId="0E3F9636" w:rsidR="008C7EB2" w:rsidRPr="002B047F" w:rsidRDefault="002B047F" w:rsidP="002F4142">
      <w:pPr>
        <w:jc w:val="both"/>
        <w:rPr>
          <w:sz w:val="22"/>
          <w:szCs w:val="22"/>
        </w:rPr>
      </w:pPr>
      <w:r w:rsidRPr="002B047F">
        <w:rPr>
          <w:rFonts w:asciiTheme="minorHAnsi" w:hAnsiTheme="minorHAnsi" w:cstheme="minorHAnsi"/>
          <w:i/>
          <w:iCs/>
          <w:sz w:val="22"/>
          <w:szCs w:val="22"/>
        </w:rPr>
        <w:t xml:space="preserve">- Dla części firm inflacja to szansa na zwiększenie rentowności, bo jest wykorzystywana jako pretekst do podwyżki cen swoich produktów i usług. Niestety dla dużej grupy firm MŚP wygląda to mniej optymistycznie. </w:t>
      </w:r>
      <w:r w:rsidR="00160C10">
        <w:rPr>
          <w:rFonts w:asciiTheme="minorHAnsi" w:hAnsiTheme="minorHAnsi" w:cstheme="minorHAnsi"/>
          <w:i/>
          <w:iCs/>
          <w:sz w:val="22"/>
          <w:szCs w:val="22"/>
        </w:rPr>
        <w:t>Ci, którzy są</w:t>
      </w:r>
      <w:r w:rsidRPr="002B047F">
        <w:rPr>
          <w:rFonts w:asciiTheme="minorHAnsi" w:hAnsiTheme="minorHAnsi" w:cstheme="minorHAnsi"/>
          <w:i/>
          <w:iCs/>
          <w:sz w:val="22"/>
          <w:szCs w:val="22"/>
        </w:rPr>
        <w:t xml:space="preserve"> podwykonawcami większych podmiotów i mają wcześniej wycenione i</w:t>
      </w:r>
      <w:r w:rsidR="002F4142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2B047F">
        <w:rPr>
          <w:rFonts w:asciiTheme="minorHAnsi" w:hAnsiTheme="minorHAnsi" w:cstheme="minorHAnsi"/>
          <w:i/>
          <w:iCs/>
          <w:sz w:val="22"/>
          <w:szCs w:val="22"/>
        </w:rPr>
        <w:t>zakontraktowane prace</w:t>
      </w:r>
      <w:r w:rsidR="00160C10">
        <w:rPr>
          <w:rFonts w:asciiTheme="minorHAnsi" w:hAnsiTheme="minorHAnsi" w:cstheme="minorHAnsi"/>
          <w:i/>
          <w:iCs/>
          <w:sz w:val="22"/>
          <w:szCs w:val="22"/>
        </w:rPr>
        <w:t>, na inflacji</w:t>
      </w:r>
      <w:r w:rsidRPr="002B047F">
        <w:rPr>
          <w:rFonts w:asciiTheme="minorHAnsi" w:hAnsiTheme="minorHAnsi" w:cstheme="minorHAnsi"/>
          <w:i/>
          <w:iCs/>
          <w:sz w:val="22"/>
          <w:szCs w:val="22"/>
        </w:rPr>
        <w:t xml:space="preserve"> tracą. Dodatkowym hamulcem w rozwoju, a wręcz powodem stawiającym pod znakiem zapytanie dalszy byt jest utrata wartości pieniądza. Firmy czekają zgodnie z kontraktem po 60 dni na płatność za swoją usługę. Ten pieniądz ma wtedy już inną wartość. Firmy szukają rozwiązań: renegocjacje umów, a także przyspieszenie płatności za faktury. Dlatego zapotrzebowanie na faktoring w Polsce dynamicznie się zwiększa. Jest to jedno z nielicznych rozwiązań, które dzisiaj realnie wspierają przedsiębiorców w warunkach wysokiej inflacji i drogich kredytów</w:t>
      </w:r>
      <w:r>
        <w:rPr>
          <w:sz w:val="22"/>
          <w:szCs w:val="22"/>
        </w:rPr>
        <w:t xml:space="preserve"> </w:t>
      </w:r>
      <w:r w:rsidR="000442D3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–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442D3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mówi </w:t>
      </w:r>
      <w:r w:rsidR="000442D3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Mateusz Skowronek z eFaktor, polskiej firmy faktoringowej.</w:t>
      </w:r>
    </w:p>
    <w:p w14:paraId="517ACD2A" w14:textId="44D56DA5" w:rsidR="008C7EB2" w:rsidRPr="000442D3" w:rsidRDefault="008C7EB2" w:rsidP="002F4142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CCB7A81" w14:textId="15E352F1" w:rsidR="009E4FF8" w:rsidRPr="000442D3" w:rsidRDefault="009E4FF8" w:rsidP="002F414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 lipcu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wg GUS 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ajmocniej względem ubiegłego roku podrożały paliwa 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– o 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36,8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%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(wobec wzrostu o</w:t>
      </w:r>
      <w:r w:rsidR="002F41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35,3% </w:t>
      </w:r>
      <w:proofErr w:type="spellStart"/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rdr</w:t>
      </w:r>
      <w:proofErr w:type="spellEnd"/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 czerwcu) oraz energia 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– o 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37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%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8C7EB2" w:rsidRPr="000442D3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0442D3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Wzrost cen w porównaniu do ubiegłego roku zanotowano we wszystkich głównych kategoriach towarów i usług</w:t>
      </w:r>
      <w:r w:rsidRP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.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Rekordzistą jest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opał, gdzie odnotowano wzrost cen aż o 123% w skali roku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ukier 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podrożał o 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47,6%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a 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tłuszcz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roślinn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 o 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46,1%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 Koszty g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az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ziemn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ego wzrosły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 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44,9%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a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LPG </w:t>
      </w:r>
      <w:r w:rsidR="00DF6157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 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41%.</w:t>
      </w:r>
      <w:r w:rsidRPr="000442D3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8C7EB2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firm oznacza to </w:t>
      </w:r>
      <w:r w:rsidR="008C7EB2" w:rsidRPr="000442D3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mocny</w:t>
      </w:r>
      <w:r w:rsidRPr="000442D3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 xml:space="preserve"> wzrost kosztów wytwarzania</w:t>
      </w:r>
      <w:r w:rsidR="008C7EB2" w:rsidRPr="000442D3">
        <w:rPr>
          <w:rStyle w:val="Uwydatn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7E9946EC" w14:textId="57C54DBB" w:rsidR="009E4FF8" w:rsidRPr="000442D3" w:rsidRDefault="009E4FF8" w:rsidP="002F4142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D08931B" w14:textId="10F99C81" w:rsidR="003B2DF8" w:rsidRPr="000442D3" w:rsidRDefault="003E27AB" w:rsidP="002F4142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Wzrost liczby wniosków o zamknięcie działalności, ale to dopiero początek</w:t>
      </w:r>
    </w:p>
    <w:p w14:paraId="424CE429" w14:textId="6060CDF9" w:rsidR="003B2DF8" w:rsidRPr="000442D3" w:rsidRDefault="003B2DF8" w:rsidP="002F414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Wzrost cen energii o 37% oznacza, że firma, która 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rok temu za energie płaciła np. 10 tys. zł miesięcznie, teraz musi wydać prawie 14 tys. zł za to samo zużycie. Nie </w:t>
      </w:r>
      <w:r w:rsidR="003E27AB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wszystkich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to stać, więc rośnie liczba bank</w:t>
      </w:r>
      <w:r w:rsidR="000442D3">
        <w:rPr>
          <w:rFonts w:asciiTheme="minorHAnsi" w:hAnsiTheme="minorHAnsi" w:cstheme="minorHAnsi"/>
          <w:color w:val="000000" w:themeColor="text1"/>
          <w:sz w:val="22"/>
          <w:szCs w:val="22"/>
        </w:rPr>
        <w:t>rutujących podmiotów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Rejestr Centralnej Ewidencji i Informacji o Działalności Gospodarczej zanotował w pierwszej połowie 2022</w:t>
      </w:r>
      <w:r w:rsidR="003E27AB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</w:t>
      </w:r>
      <w:r w:rsidR="003E27AB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ponad 25%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więcej wniosków dotyczących zamknięcia działalności gospodarczej niż przed rokiem.</w:t>
      </w:r>
      <w:r w:rsidR="003E27AB"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 xml:space="preserve">W pierwszym półroczu br. do rejestru CEIDG wpłynęło ponad 104,3 tys. wniosków dotyczących zamknięcia działalności </w:t>
      </w:r>
      <w:r w:rsidR="003E27AB"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>gospodarczej,</w:t>
      </w:r>
      <w:r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 xml:space="preserve"> </w:t>
      </w:r>
      <w:r w:rsidR="003E27AB"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 xml:space="preserve">czyli </w:t>
      </w:r>
      <w:r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>średni</w:t>
      </w:r>
      <w:r w:rsidR="003E27AB"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>o</w:t>
      </w:r>
      <w:r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 xml:space="preserve"> miesięczn</w:t>
      </w:r>
      <w:r w:rsidR="003E27AB"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>ie ponad</w:t>
      </w:r>
      <w:r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 xml:space="preserve"> 17 tys. </w:t>
      </w:r>
      <w:r w:rsidR="003E27AB"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>W</w:t>
      </w:r>
      <w:r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 xml:space="preserve"> analogicznym okresie ubiegłego roku</w:t>
      </w:r>
      <w:r w:rsidR="003E27AB"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 xml:space="preserve"> </w:t>
      </w:r>
      <w:r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 xml:space="preserve">było ich 82,9 tys. </w:t>
      </w:r>
    </w:p>
    <w:p w14:paraId="0C4F1564" w14:textId="61631C02" w:rsidR="003B2DF8" w:rsidRPr="000442D3" w:rsidRDefault="003B2DF8" w:rsidP="002F4142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48077F84" w14:textId="77777777" w:rsidR="001B7A65" w:rsidRDefault="003E27AB" w:rsidP="002F4142">
      <w:pPr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</w:pPr>
      <w:r w:rsidRPr="000442D3">
        <w:rPr>
          <w:rStyle w:val="apple-converted-space"/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lastRenderedPageBreak/>
        <w:t xml:space="preserve">W </w:t>
      </w:r>
      <w:r w:rsidR="003B2DF8"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 xml:space="preserve">pierwszej połowie br. do rejestru CEIDG wpłynęło </w:t>
      </w:r>
      <w:r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 xml:space="preserve">także </w:t>
      </w:r>
      <w:r w:rsidR="003B2DF8"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 xml:space="preserve">161,1 tys. wniosków o zawieszenie działalności. To </w:t>
      </w:r>
      <w:r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 xml:space="preserve">aż </w:t>
      </w:r>
      <w:r w:rsidR="003B2DF8"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 xml:space="preserve">o 39,4 proc. więcej niż w analogicznym okresie ubiegłego roku, kiedy było ich ponad 115,5 tys. </w:t>
      </w:r>
    </w:p>
    <w:p w14:paraId="226D2DB2" w14:textId="11501377" w:rsidR="003B2DF8" w:rsidRPr="0051285D" w:rsidRDefault="003E27AB" w:rsidP="002F4142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285D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shd w:val="clear" w:color="auto" w:fill="FFFFFF"/>
        </w:rPr>
        <w:t xml:space="preserve">Sumując wnioski o zamknięcia i </w:t>
      </w:r>
      <w:r w:rsidR="001B7A65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shd w:val="clear" w:color="auto" w:fill="FFFFFF"/>
        </w:rPr>
        <w:t>zawieszenie</w:t>
      </w:r>
      <w:r w:rsidRPr="0051285D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shd w:val="clear" w:color="auto" w:fill="FFFFFF"/>
        </w:rPr>
        <w:t xml:space="preserve"> średnio miesięcznie aż 44 tys. firm wstrzymywało działalność w pierwszym półroczu. </w:t>
      </w:r>
      <w:r w:rsidR="000442D3" w:rsidRPr="0051285D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shd w:val="clear" w:color="auto" w:fill="FFFFFF"/>
        </w:rPr>
        <w:t>Podobnie, a nawet gorzej będzie jesienią.</w:t>
      </w:r>
    </w:p>
    <w:p w14:paraId="1368AFEE" w14:textId="77777777" w:rsidR="003B2DF8" w:rsidRPr="000442D3" w:rsidRDefault="003B2DF8" w:rsidP="002F4142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00E6E7D5" w14:textId="6DE055AD" w:rsidR="003E27AB" w:rsidRPr="000442D3" w:rsidRDefault="003B2DF8" w:rsidP="002F414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0442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- 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Niestety w drugiej połowie roku firm likwidujących działalność lub ją zawieszających będzie więcej. Wielu przedsiębiorców od wielu miesięcy jest na granicy opłacalności lub nawet pod kreską. </w:t>
      </w:r>
      <w:r w:rsidR="003E27AB"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Mówiąc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kolokwialnie</w:t>
      </w:r>
      <w:r w:rsid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-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jedzie po bandzie. </w:t>
      </w:r>
      <w:r w:rsidR="007B23D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iągle rosnąca inflacja, drożejące nośniki energii czy obawy o brak gazu są istotnymi czynnikami ryzyka. Firmy, które mają podpisane </w:t>
      </w:r>
      <w:r w:rsidR="003E27AB"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długoterminowe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kontrakty z</w:t>
      </w:r>
      <w:r w:rsidR="002F414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solidnymi </w:t>
      </w:r>
      <w:r w:rsidR="003E27AB"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partnerami</w:t>
      </w:r>
      <w:r w:rsid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mają szansę uciec przed inflacją pozyskując finansowanie np. z faktoringu. Mamy coraz więcej takich wniosków</w:t>
      </w:r>
      <w:r w:rsidR="003E27AB"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bo dla przedsiębiorcy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rachunek jest prosty: materiały budowlane, olej, czy mąką kupione dzisiaj za pieniądze od faktora </w:t>
      </w:r>
      <w:r w:rsidR="003E27AB"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będą znacznie tańsze niż kupione za dwa miesiące.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3E27AB"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Uwzględniając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3E27AB"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nawet 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prowizję za finansowanie. Jeśli niektóre surowce czy półprodukty drożeją po 30-40 % w skali roku to ich zakup miesiąc czy dwa wcześniej, na </w:t>
      </w:r>
      <w:r w:rsidR="003E27AB"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zapas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oznacza </w:t>
      </w:r>
      <w:r w:rsidR="003E27AB"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istotny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zysk</w:t>
      </w:r>
      <w:r w:rsidR="003E27AB"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To sprawia, że szukają gotówki dostępnej dzisiaj, dzięki której zrobią zapasy </w:t>
      </w:r>
      <w:r w:rsidR="003E27AB"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i 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zaoszczędzą</w:t>
      </w:r>
      <w:r w:rsidR="003E27AB"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– </w:t>
      </w:r>
      <w:r w:rsidRPr="000442D3">
        <w:rPr>
          <w:rFonts w:asciiTheme="minorHAnsi" w:hAnsiTheme="minorHAnsi" w:cstheme="minorHAnsi"/>
          <w:color w:val="000000" w:themeColor="text1"/>
          <w:sz w:val="22"/>
          <w:szCs w:val="22"/>
        </w:rPr>
        <w:t>wylicza</w:t>
      </w:r>
      <w:r w:rsidR="003E27AB" w:rsidRPr="000442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3E27AB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Marek Sikorski z </w:t>
      </w:r>
      <w:proofErr w:type="spellStart"/>
      <w:r w:rsidR="003E27AB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Finea</w:t>
      </w:r>
      <w:proofErr w:type="spellEnd"/>
      <w:r w:rsidR="003E27AB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firmy </w:t>
      </w:r>
      <w:proofErr w:type="spellStart"/>
      <w:r w:rsidR="003E27AB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mikrofaktoringowej</w:t>
      </w:r>
      <w:proofErr w:type="spellEnd"/>
      <w:r w:rsidR="003E27AB" w:rsidRPr="000442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5E8A7873" w14:textId="013BBC62" w:rsidR="006132A6" w:rsidRPr="000442D3" w:rsidRDefault="006132A6" w:rsidP="002F4142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BC3D350" w14:textId="77777777" w:rsidR="003B2DF8" w:rsidRPr="000442D3" w:rsidRDefault="003B2DF8" w:rsidP="002F4142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B56CC2F" w14:textId="3A2FCC63" w:rsidR="008C7EB2" w:rsidRPr="000442D3" w:rsidRDefault="003B2DF8" w:rsidP="002F4142">
      <w:pPr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</w:pPr>
      <w:r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 xml:space="preserve">Wg badania </w:t>
      </w:r>
      <w:r w:rsidR="006132A6"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>Lewiatan</w:t>
      </w:r>
      <w:r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>a</w:t>
      </w:r>
      <w:r w:rsidR="006132A6"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 xml:space="preserve"> 81% </w:t>
      </w:r>
      <w:r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 xml:space="preserve">badanych przedsiębiorców zamierza </w:t>
      </w:r>
      <w:r w:rsidR="006132A6"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>podnieść ceny produktów i usług. Jednocześnie 79</w:t>
      </w:r>
      <w:r w:rsid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>%</w:t>
      </w:r>
      <w:r w:rsidR="006132A6"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 xml:space="preserve"> uważa, że będą zmuszeni do podnoszenia płac swoim pracownikom. Te zachowania podmiotów gospodarczych nie będą raczej sprzyjać ograniczeniu wzrostu cen</w:t>
      </w:r>
      <w:r w:rsidR="003E27AB" w:rsidRPr="000442D3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.</w:t>
      </w:r>
    </w:p>
    <w:sectPr w:rsidR="008C7EB2" w:rsidRPr="0004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735"/>
    <w:multiLevelType w:val="multilevel"/>
    <w:tmpl w:val="6D22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533A1"/>
    <w:multiLevelType w:val="hybridMultilevel"/>
    <w:tmpl w:val="B7E45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B1AE4"/>
    <w:multiLevelType w:val="hybridMultilevel"/>
    <w:tmpl w:val="9CCA99A8"/>
    <w:lvl w:ilvl="0" w:tplc="26225AEA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90524"/>
    <w:multiLevelType w:val="hybridMultilevel"/>
    <w:tmpl w:val="C33EB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237011">
    <w:abstractNumId w:val="0"/>
  </w:num>
  <w:num w:numId="2" w16cid:durableId="580914636">
    <w:abstractNumId w:val="2"/>
  </w:num>
  <w:num w:numId="3" w16cid:durableId="1259100478">
    <w:abstractNumId w:val="1"/>
  </w:num>
  <w:num w:numId="4" w16cid:durableId="627122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6E"/>
    <w:rsid w:val="0002287B"/>
    <w:rsid w:val="000442D3"/>
    <w:rsid w:val="000868B6"/>
    <w:rsid w:val="000D48AB"/>
    <w:rsid w:val="000F4BC4"/>
    <w:rsid w:val="00160C10"/>
    <w:rsid w:val="001B1C49"/>
    <w:rsid w:val="001B7A65"/>
    <w:rsid w:val="001C1EF2"/>
    <w:rsid w:val="001D1613"/>
    <w:rsid w:val="001E5937"/>
    <w:rsid w:val="002A3975"/>
    <w:rsid w:val="002B047F"/>
    <w:rsid w:val="002F4142"/>
    <w:rsid w:val="0030396E"/>
    <w:rsid w:val="00324F4A"/>
    <w:rsid w:val="00360D4F"/>
    <w:rsid w:val="00386517"/>
    <w:rsid w:val="003A73C0"/>
    <w:rsid w:val="003B2DF8"/>
    <w:rsid w:val="003E27AB"/>
    <w:rsid w:val="003E4288"/>
    <w:rsid w:val="00405C96"/>
    <w:rsid w:val="004336FC"/>
    <w:rsid w:val="00455E5E"/>
    <w:rsid w:val="004F1938"/>
    <w:rsid w:val="0051285D"/>
    <w:rsid w:val="005258DA"/>
    <w:rsid w:val="005A441F"/>
    <w:rsid w:val="005E1413"/>
    <w:rsid w:val="005E295D"/>
    <w:rsid w:val="005E6B18"/>
    <w:rsid w:val="006118A1"/>
    <w:rsid w:val="006132A6"/>
    <w:rsid w:val="006564C7"/>
    <w:rsid w:val="00685D48"/>
    <w:rsid w:val="006E2935"/>
    <w:rsid w:val="006E5AD0"/>
    <w:rsid w:val="006F1DAA"/>
    <w:rsid w:val="006F7F5C"/>
    <w:rsid w:val="007575D3"/>
    <w:rsid w:val="007627C8"/>
    <w:rsid w:val="00792AD9"/>
    <w:rsid w:val="0079524D"/>
    <w:rsid w:val="007B23D0"/>
    <w:rsid w:val="007D3C35"/>
    <w:rsid w:val="007D5A96"/>
    <w:rsid w:val="007F6EFC"/>
    <w:rsid w:val="00865FD4"/>
    <w:rsid w:val="008C7EB2"/>
    <w:rsid w:val="008E11D8"/>
    <w:rsid w:val="0090615D"/>
    <w:rsid w:val="00917A9A"/>
    <w:rsid w:val="00960A85"/>
    <w:rsid w:val="00983E6D"/>
    <w:rsid w:val="0099773D"/>
    <w:rsid w:val="009E4FF8"/>
    <w:rsid w:val="00A62CDE"/>
    <w:rsid w:val="00AE3B1E"/>
    <w:rsid w:val="00B07748"/>
    <w:rsid w:val="00B1668E"/>
    <w:rsid w:val="00B36E88"/>
    <w:rsid w:val="00B81523"/>
    <w:rsid w:val="00BB6BD1"/>
    <w:rsid w:val="00C0179A"/>
    <w:rsid w:val="00C54D76"/>
    <w:rsid w:val="00CC510D"/>
    <w:rsid w:val="00CE03FA"/>
    <w:rsid w:val="00D11EC3"/>
    <w:rsid w:val="00DA3F0D"/>
    <w:rsid w:val="00DA5AA8"/>
    <w:rsid w:val="00DF6157"/>
    <w:rsid w:val="00E059B4"/>
    <w:rsid w:val="00E06603"/>
    <w:rsid w:val="00E520E8"/>
    <w:rsid w:val="00E95B07"/>
    <w:rsid w:val="00E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67BC"/>
  <w15:chartTrackingRefBased/>
  <w15:docId w15:val="{5265FE59-E974-1B44-AD64-E6202F4C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FF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9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96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39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0396E"/>
  </w:style>
  <w:style w:type="character" w:styleId="Pogrubienie">
    <w:name w:val="Strong"/>
    <w:basedOn w:val="Domylnaczcionkaakapitu"/>
    <w:uiPriority w:val="22"/>
    <w:qFormat/>
    <w:rsid w:val="00360D4F"/>
    <w:rPr>
      <w:b/>
      <w:bCs/>
    </w:rPr>
  </w:style>
  <w:style w:type="paragraph" w:styleId="Poprawka">
    <w:name w:val="Revision"/>
    <w:hidden/>
    <w:uiPriority w:val="99"/>
    <w:semiHidden/>
    <w:rsid w:val="00455E5E"/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6132A6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B2DF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C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C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C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Kinga Woźniakowska</cp:lastModifiedBy>
  <cp:revision>2</cp:revision>
  <dcterms:created xsi:type="dcterms:W3CDTF">2022-08-22T13:17:00Z</dcterms:created>
  <dcterms:modified xsi:type="dcterms:W3CDTF">2022-08-22T13:17:00Z</dcterms:modified>
</cp:coreProperties>
</file>